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65"/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（一）高层次人才待遇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65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除享受基本工资及福利待遇外，还提供绩效工资、住房补贴、安家费、科研启动费等，标准如下（见表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）：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841"/>
        <w:gridCol w:w="1332"/>
        <w:gridCol w:w="1202"/>
        <w:gridCol w:w="1703"/>
        <w:gridCol w:w="12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人才类别</w:t>
            </w:r>
          </w:p>
        </w:tc>
        <w:tc>
          <w:tcPr>
            <w:tcW w:w="22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年绩效工资</w:t>
            </w: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住房补贴、安家费等</w:t>
            </w:r>
          </w:p>
        </w:tc>
        <w:tc>
          <w:tcPr>
            <w:tcW w:w="187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科研启动费</w:t>
            </w:r>
          </w:p>
        </w:tc>
        <w:tc>
          <w:tcPr>
            <w:tcW w:w="14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2"/>
                <w:szCs w:val="22"/>
              </w:rPr>
            </w:pPr>
          </w:p>
        </w:tc>
        <w:tc>
          <w:tcPr>
            <w:tcW w:w="22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2"/>
                <w:szCs w:val="22"/>
              </w:rPr>
            </w:pPr>
          </w:p>
        </w:tc>
        <w:tc>
          <w:tcPr>
            <w:tcW w:w="14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自然科学类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人文社科类</w:t>
            </w:r>
          </w:p>
        </w:tc>
        <w:tc>
          <w:tcPr>
            <w:tcW w:w="14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2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国家级高层次人才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全校平均绩效工资的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bdr w:val="none" w:color="auto" w:sz="0" w:space="0"/>
                <w:lang w:val="en-US"/>
              </w:rPr>
              <w:t>3-15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面议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面议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面议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含省、市、校引进人才待遇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4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省部级高层次人才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全校平均绩效工资的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bdr w:val="none" w:color="auto" w:sz="0" w:space="0"/>
                <w:lang w:val="en-US"/>
              </w:rPr>
              <w:t>2-3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val="en-US"/>
              </w:rPr>
              <w:t>110-250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bdr w:val="none" w:color="auto" w:sz="0" w:space="0"/>
                <w:lang w:val="en-US"/>
              </w:rPr>
              <w:t>200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23232"/>
                <w:spacing w:val="0"/>
                <w:sz w:val="24"/>
                <w:szCs w:val="24"/>
                <w:bdr w:val="none" w:color="auto" w:sz="0" w:space="0"/>
                <w:lang w:val="en-US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23232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（二）学科带头人、学术骨干、普通师资待遇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除享受正常的基本工资、绩效工资及福利待遇外，还提供住房补贴、安家费、科研启动费，标准如下（见表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）：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"/>
        <w:gridCol w:w="1924"/>
        <w:gridCol w:w="1029"/>
        <w:gridCol w:w="784"/>
        <w:gridCol w:w="1363"/>
        <w:gridCol w:w="951"/>
        <w:gridCol w:w="10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人才类别</w:t>
            </w:r>
          </w:p>
        </w:tc>
        <w:tc>
          <w:tcPr>
            <w:tcW w:w="23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住房补贴、安家费等</w:t>
            </w:r>
          </w:p>
        </w:tc>
        <w:tc>
          <w:tcPr>
            <w:tcW w:w="366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科研启动费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自然科学类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人文社科类</w:t>
            </w:r>
          </w:p>
        </w:tc>
        <w:tc>
          <w:tcPr>
            <w:tcW w:w="246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工科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理科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学科带头人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省外引进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110-200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万；省内引进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－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含省、市、校引进人才待遇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学术骨干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省外引进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96-190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万；省内引进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－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190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紧缺学科专业的博士（后）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省外引进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76-170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万；省内引进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－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170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认定优秀博士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</w:rPr>
              <w:t>再增加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</w:rPr>
              <w:t>万元住房补贴</w:t>
            </w: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非紧缺学科专业的博士（后）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省外引进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56-150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万；省内引进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－</w:t>
            </w:r>
            <w:r>
              <w:rPr>
                <w:rFonts w:hint="eastAsia" w:ascii="宋体" w:hAnsi="宋体" w:eastAsia="宋体" w:cs="宋体"/>
                <w:color w:val="323232"/>
                <w:sz w:val="24"/>
                <w:szCs w:val="24"/>
                <w:bdr w:val="none" w:color="auto" w:sz="0" w:space="0"/>
                <w:lang w:val="en-US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3232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万</w:t>
            </w:r>
          </w:p>
        </w:tc>
        <w:tc>
          <w:tcPr>
            <w:tcW w:w="121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323232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8" w:lineRule="atLeast"/>
        <w:ind w:left="0" w:right="0" w:firstLine="465"/>
        <w:rPr>
          <w:rFonts w:hint="eastAsia" w:ascii="微软雅黑" w:hAnsi="微软雅黑" w:eastAsia="微软雅黑" w:cs="微软雅黑"/>
          <w:i w:val="0"/>
          <w:caps w:val="0"/>
          <w:color w:val="323232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23232"/>
          <w:spacing w:val="0"/>
          <w:sz w:val="24"/>
          <w:szCs w:val="24"/>
          <w:bdr w:val="none" w:color="auto" w:sz="0" w:space="0"/>
          <w:shd w:val="clear" w:fill="FFFFFF"/>
        </w:rPr>
        <w:t>八、其他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D0C1E"/>
    <w:rsid w:val="383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2020-03-12T01:09:00Z</dcterms:created>
  <dc:creator>那时花开咖啡馆。</dc:creator>
  <cp:lastModifiedBy>那时花开咖啡馆。</cp:lastModifiedBy>
  <dcterms:modified xsi:type="dcterms:W3CDTF">2020-03-12T01:11:20Z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