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6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420" w:lineRule="exact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附件2：</w:t>
      </w:r>
    </w:p>
    <w:p>
      <w:pPr>
        <w:spacing w:line="420" w:lineRule="exact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嘉教人〔2018〕207号文件</w:t>
      </w:r>
    </w:p>
    <w:p>
      <w:pPr>
        <w:spacing w:line="420" w:lineRule="exact"/>
        <w:jc w:val="center"/>
        <w:rPr>
          <w:rFonts w:hint="eastAsia" w:asci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eastAsia="仿宋_GB2312" w:cs="仿宋_GB2312"/>
          <w:b/>
          <w:kern w:val="0"/>
          <w:sz w:val="36"/>
          <w:szCs w:val="36"/>
        </w:rPr>
        <w:t>《嘉兴市教育高层次人才引进实施办法》部分内容摘要：</w:t>
      </w:r>
    </w:p>
    <w:p>
      <w:pPr>
        <w:spacing w:line="540" w:lineRule="exact"/>
        <w:ind w:firstLine="640" w:firstLineChars="200"/>
        <w:rPr>
          <w:rFonts w:hint="eastAsia" w:ascii="黑体" w:hAnsi="楷体" w:eastAsia="黑体" w:cs="黑体"/>
          <w:sz w:val="32"/>
          <w:szCs w:val="32"/>
        </w:rPr>
      </w:pPr>
    </w:p>
    <w:p>
      <w:pPr>
        <w:spacing w:line="54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黑体" w:hAnsi="楷体" w:eastAsia="黑体" w:cs="黑体"/>
          <w:sz w:val="30"/>
          <w:szCs w:val="30"/>
        </w:rPr>
        <w:t>第六条</w:t>
      </w:r>
      <w:r>
        <w:rPr>
          <w:rFonts w:ascii="仿宋_GB2312" w:hAnsi="仿宋" w:eastAsia="仿宋_GB2312" w:cs="仿宋_GB2312"/>
          <w:b/>
          <w:bCs/>
          <w:sz w:val="30"/>
          <w:szCs w:val="30"/>
        </w:rPr>
        <w:t xml:space="preserve">  </w:t>
      </w:r>
      <w:r>
        <w:rPr>
          <w:rFonts w:ascii="仿宋_GB2312" w:hAnsi="仿宋" w:eastAsia="仿宋_GB2312" w:cs="仿宋_GB2312"/>
          <w:sz w:val="30"/>
          <w:szCs w:val="30"/>
        </w:rPr>
        <w:t>A</w:t>
      </w:r>
      <w:r>
        <w:rPr>
          <w:rFonts w:hint="eastAsia" w:ascii="仿宋_GB2312" w:hAnsi="仿宋" w:eastAsia="仿宋_GB2312" w:cs="仿宋_GB2312"/>
          <w:sz w:val="30"/>
          <w:szCs w:val="30"/>
        </w:rPr>
        <w:t>类教育高层次人才：</w:t>
      </w:r>
    </w:p>
    <w:p>
      <w:pPr>
        <w:spacing w:line="540" w:lineRule="exact"/>
        <w:ind w:firstLine="600" w:firstLineChars="200"/>
        <w:rPr>
          <w:rFonts w:ascii="仿宋_GB2312" w:hAnsi="仿宋" w:eastAsia="仿宋_GB2312" w:cs="仿宋_GB2312"/>
          <w:sz w:val="30"/>
          <w:szCs w:val="30"/>
        </w:rPr>
      </w:pPr>
      <w:r>
        <w:rPr>
          <w:rFonts w:ascii="仿宋_GB2312" w:hAnsi="仿宋" w:eastAsia="仿宋_GB2312" w:cs="仿宋_GB2312"/>
          <w:sz w:val="30"/>
          <w:szCs w:val="30"/>
        </w:rPr>
        <w:t>4</w:t>
      </w:r>
      <w:r>
        <w:rPr>
          <w:rFonts w:hint="eastAsia" w:ascii="仿宋_GB2312" w:hAnsi="仿宋" w:eastAsia="仿宋_GB2312" w:cs="仿宋_GB2312"/>
          <w:sz w:val="30"/>
          <w:szCs w:val="30"/>
        </w:rPr>
        <w:t>.近</w:t>
      </w:r>
      <w:r>
        <w:rPr>
          <w:rFonts w:ascii="仿宋_GB2312" w:hAnsi="仿宋" w:eastAsia="仿宋_GB2312" w:cs="仿宋_GB2312"/>
          <w:sz w:val="30"/>
          <w:szCs w:val="30"/>
        </w:rPr>
        <w:t>5</w:t>
      </w:r>
      <w:r>
        <w:rPr>
          <w:rFonts w:hint="eastAsia" w:ascii="仿宋_GB2312" w:hAnsi="仿宋" w:eastAsia="仿宋_GB2312" w:cs="仿宋_GB2312"/>
          <w:sz w:val="30"/>
          <w:szCs w:val="30"/>
        </w:rPr>
        <w:t>年，指导学生在国际数学、物理、化学、生物或信息奥林匹克竞赛中获得奖牌且为主要指导教师，或被评为同级别优秀指导教师；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黑体" w:hAnsi="楷体" w:eastAsia="黑体" w:cs="黑体"/>
          <w:sz w:val="30"/>
          <w:szCs w:val="30"/>
        </w:rPr>
        <w:t>第七条</w:t>
      </w:r>
      <w:r>
        <w:rPr>
          <w:rFonts w:ascii="仿宋_GB2312" w:hAnsi="仿宋" w:eastAsia="仿宋_GB2312" w:cs="仿宋_GB2312"/>
          <w:sz w:val="30"/>
          <w:szCs w:val="30"/>
        </w:rPr>
        <w:t xml:space="preserve">  B</w:t>
      </w:r>
      <w:r>
        <w:rPr>
          <w:rFonts w:hint="eastAsia" w:ascii="仿宋_GB2312" w:hAnsi="仿宋" w:eastAsia="仿宋_GB2312" w:cs="仿宋_GB2312"/>
          <w:sz w:val="30"/>
          <w:szCs w:val="30"/>
        </w:rPr>
        <w:t>类教育高层次人才：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ascii="仿宋_GB2312" w:hAnsi="仿宋" w:eastAsia="仿宋_GB2312" w:cs="仿宋_GB2312"/>
          <w:sz w:val="30"/>
          <w:szCs w:val="30"/>
        </w:rPr>
        <w:t>4.</w:t>
      </w:r>
      <w:r>
        <w:rPr>
          <w:rFonts w:hint="eastAsia" w:ascii="仿宋_GB2312" w:hAnsi="仿宋" w:eastAsia="仿宋_GB2312" w:cs="仿宋_GB2312"/>
          <w:sz w:val="30"/>
          <w:szCs w:val="30"/>
        </w:rPr>
        <w:t>近</w:t>
      </w:r>
      <w:r>
        <w:rPr>
          <w:rFonts w:ascii="仿宋_GB2312" w:hAnsi="仿宋" w:eastAsia="仿宋_GB2312" w:cs="仿宋_GB2312"/>
          <w:sz w:val="30"/>
          <w:szCs w:val="30"/>
        </w:rPr>
        <w:t>5</w:t>
      </w:r>
      <w:r>
        <w:rPr>
          <w:rFonts w:hint="eastAsia" w:ascii="仿宋_GB2312" w:hAnsi="仿宋" w:eastAsia="仿宋_GB2312" w:cs="仿宋_GB2312"/>
          <w:sz w:val="30"/>
          <w:szCs w:val="30"/>
        </w:rPr>
        <w:t>年获得全国技工院校教师职业能力大赛一等奖，指导学生在全国高中数学、物理、化学、生物联赛或信息奥林匹克竞赛中进入省队并获得全国一、二等奖（至少</w:t>
      </w:r>
      <w:r>
        <w:rPr>
          <w:rFonts w:ascii="仿宋_GB2312" w:hAnsi="仿宋" w:eastAsia="仿宋_GB2312" w:cs="仿宋_GB2312"/>
          <w:sz w:val="30"/>
          <w:szCs w:val="30"/>
        </w:rPr>
        <w:t>1</w:t>
      </w:r>
      <w:r>
        <w:rPr>
          <w:rFonts w:hint="eastAsia" w:ascii="仿宋_GB2312" w:hAnsi="仿宋" w:eastAsia="仿宋_GB2312" w:cs="仿宋_GB2312"/>
          <w:sz w:val="30"/>
          <w:szCs w:val="30"/>
        </w:rPr>
        <w:t>次）且为主要指导教师，或被评为同级别优秀指导教师；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黑体" w:hAnsi="楷体" w:eastAsia="黑体" w:cs="黑体"/>
          <w:sz w:val="30"/>
          <w:szCs w:val="30"/>
        </w:rPr>
        <w:t>第八条</w:t>
      </w:r>
      <w:r>
        <w:rPr>
          <w:rFonts w:ascii="仿宋_GB2312" w:hAnsi="仿宋" w:eastAsia="仿宋_GB2312" w:cs="仿宋_GB2312"/>
          <w:sz w:val="30"/>
          <w:szCs w:val="30"/>
        </w:rPr>
        <w:t xml:space="preserve">  C</w:t>
      </w:r>
      <w:r>
        <w:rPr>
          <w:rFonts w:hint="eastAsia" w:ascii="仿宋_GB2312" w:hAnsi="仿宋" w:eastAsia="仿宋_GB2312" w:cs="仿宋_GB2312"/>
          <w:sz w:val="30"/>
          <w:szCs w:val="30"/>
        </w:rPr>
        <w:t>类教育高层次人才：</w:t>
      </w:r>
    </w:p>
    <w:p>
      <w:pPr>
        <w:spacing w:line="54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 w:cs="仿宋_GB2312"/>
          <w:sz w:val="30"/>
          <w:szCs w:val="30"/>
        </w:rPr>
        <w:t>4.</w:t>
      </w:r>
      <w:r>
        <w:rPr>
          <w:rFonts w:hint="eastAsia" w:ascii="仿宋_GB2312" w:hAnsi="仿宋" w:eastAsia="仿宋_GB2312" w:cs="仿宋_GB2312"/>
          <w:sz w:val="30"/>
          <w:szCs w:val="30"/>
        </w:rPr>
        <w:t>近</w:t>
      </w:r>
      <w:r>
        <w:rPr>
          <w:rFonts w:ascii="仿宋_GB2312" w:hAnsi="仿宋" w:eastAsia="仿宋_GB2312" w:cs="仿宋_GB2312"/>
          <w:sz w:val="30"/>
          <w:szCs w:val="30"/>
        </w:rPr>
        <w:t>5</w:t>
      </w:r>
      <w:r>
        <w:rPr>
          <w:rFonts w:hint="eastAsia" w:ascii="仿宋_GB2312" w:hAnsi="仿宋" w:eastAsia="仿宋_GB2312" w:cs="仿宋_GB2312"/>
          <w:sz w:val="30"/>
          <w:szCs w:val="30"/>
        </w:rPr>
        <w:t>年指导学生在全国高中数学、物理、化学、生物联赛或信息奥林匹克竞赛中获得赛区一等奖（至少</w:t>
      </w:r>
      <w:r>
        <w:rPr>
          <w:rFonts w:ascii="仿宋_GB2312" w:hAnsi="仿宋" w:eastAsia="仿宋_GB2312" w:cs="仿宋_GB2312"/>
          <w:sz w:val="30"/>
          <w:szCs w:val="30"/>
        </w:rPr>
        <w:t>3</w:t>
      </w:r>
      <w:r>
        <w:rPr>
          <w:rFonts w:hint="eastAsia" w:ascii="仿宋_GB2312" w:hAnsi="仿宋" w:eastAsia="仿宋_GB2312" w:cs="仿宋_GB2312"/>
          <w:sz w:val="30"/>
          <w:szCs w:val="30"/>
        </w:rPr>
        <w:t>人次）且为主要指导教师，或被评为同级别优秀指导教师；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黑体" w:hAnsi="楷体" w:eastAsia="黑体" w:cs="黑体"/>
          <w:sz w:val="30"/>
          <w:szCs w:val="30"/>
        </w:rPr>
        <w:t>第九条</w:t>
      </w:r>
      <w:r>
        <w:rPr>
          <w:rFonts w:ascii="仿宋_GB2312" w:hAnsi="仿宋" w:eastAsia="仿宋_GB2312" w:cs="仿宋_GB2312"/>
          <w:sz w:val="30"/>
          <w:szCs w:val="30"/>
        </w:rPr>
        <w:t xml:space="preserve">  D</w:t>
      </w:r>
      <w:r>
        <w:rPr>
          <w:rFonts w:hint="eastAsia" w:ascii="仿宋_GB2312" w:hAnsi="仿宋" w:eastAsia="仿宋_GB2312" w:cs="仿宋_GB2312"/>
          <w:sz w:val="30"/>
          <w:szCs w:val="30"/>
        </w:rPr>
        <w:t>类教育高层次人才：</w:t>
      </w:r>
    </w:p>
    <w:p>
      <w:pPr>
        <w:spacing w:line="540" w:lineRule="exact"/>
        <w:ind w:firstLine="600" w:firstLineChars="200"/>
      </w:pPr>
      <w:r>
        <w:rPr>
          <w:rFonts w:ascii="仿宋_GB2312" w:hAnsi="仿宋" w:eastAsia="仿宋_GB2312" w:cs="仿宋_GB2312"/>
          <w:sz w:val="30"/>
          <w:szCs w:val="30"/>
        </w:rPr>
        <w:t>3.</w:t>
      </w:r>
      <w:r>
        <w:rPr>
          <w:rFonts w:hint="eastAsia" w:ascii="仿宋_GB2312" w:hAnsi="仿宋" w:eastAsia="仿宋_GB2312" w:cs="仿宋_GB2312"/>
          <w:sz w:val="30"/>
          <w:szCs w:val="30"/>
        </w:rPr>
        <w:t>近</w:t>
      </w:r>
      <w:r>
        <w:rPr>
          <w:rFonts w:ascii="仿宋_GB2312" w:hAnsi="仿宋" w:eastAsia="仿宋_GB2312" w:cs="仿宋_GB2312"/>
          <w:sz w:val="30"/>
          <w:szCs w:val="30"/>
        </w:rPr>
        <w:t>5</w:t>
      </w:r>
      <w:r>
        <w:rPr>
          <w:rFonts w:hint="eastAsia" w:ascii="仿宋_GB2312" w:hAnsi="仿宋" w:eastAsia="仿宋_GB2312" w:cs="仿宋_GB2312"/>
          <w:sz w:val="30"/>
          <w:szCs w:val="30"/>
        </w:rPr>
        <w:t>年指导学生在全国高中数学、物理、化学、生物联赛或信息奥林匹克竞赛中获得赛区一等奖（至少</w:t>
      </w:r>
      <w:r>
        <w:rPr>
          <w:rFonts w:ascii="仿宋_GB2312" w:hAnsi="仿宋" w:eastAsia="仿宋_GB2312" w:cs="仿宋_GB2312"/>
          <w:sz w:val="30"/>
          <w:szCs w:val="30"/>
        </w:rPr>
        <w:t>1</w:t>
      </w:r>
      <w:r>
        <w:rPr>
          <w:rFonts w:hint="eastAsia" w:ascii="仿宋_GB2312" w:hAnsi="仿宋" w:eastAsia="仿宋_GB2312" w:cs="仿宋_GB2312"/>
          <w:sz w:val="30"/>
          <w:szCs w:val="30"/>
        </w:rPr>
        <w:t>人次）且为主要指导教师，或被评为同级别优秀指导教师。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2240" w:h="15840"/>
      <w:pgMar w:top="1418" w:right="1418" w:bottom="1588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仿宋_GB2312"/>
        <w:sz w:val="30"/>
      </w:rPr>
    </w:pPr>
    <w:r>
      <w:rPr>
        <w:rFonts w:eastAsia="仿宋_GB2312"/>
        <w:sz w:val="30"/>
      </w:rPr>
      <w:fldChar w:fldCharType="begin"/>
    </w:r>
    <w:r>
      <w:rPr>
        <w:rFonts w:eastAsia="仿宋_GB2312"/>
        <w:sz w:val="30"/>
      </w:rPr>
      <w:instrText xml:space="preserve"> PAGE   \* MERGEFORMAT </w:instrText>
    </w:r>
    <w:r>
      <w:rPr>
        <w:rFonts w:eastAsia="仿宋_GB2312"/>
        <w:sz w:val="30"/>
      </w:rPr>
      <w:fldChar w:fldCharType="separate"/>
    </w:r>
    <w:r>
      <w:rPr>
        <w:rFonts w:eastAsia="仿宋_GB2312"/>
        <w:sz w:val="30"/>
      </w:rPr>
      <w:t>- 8 -</w:t>
    </w:r>
    <w:r>
      <w:rPr>
        <w:rFonts w:eastAsia="仿宋_GB2312"/>
        <w:sz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01CA9"/>
    <w:rsid w:val="6550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2019-10-30T07:15:00Z</dcterms:created>
  <dc:creator>zhonggong2</dc:creator>
  <cp:lastModifiedBy>zhonggong2</cp:lastModifiedBy>
  <dcterms:modified xsi:type="dcterms:W3CDTF">2019-10-30T07:16:21Z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