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napToGrid w:val="0"/>
        <w:spacing w:line="450" w:lineRule="atLeast"/>
        <w:ind w:firstLine="12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附表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bookmarkStart w:id="0" w:name="_GoBack"/>
      <w:r>
        <w:rPr>
          <w:rFonts w:hint="eastAsia" w:ascii="宋体" w:hAnsi="宋体" w:cs="宋体"/>
          <w:kern w:val="0"/>
          <w:sz w:val="24"/>
          <w:szCs w:val="24"/>
        </w:rPr>
        <w:t>招聘条件及名额</w:t>
      </w:r>
      <w:bookmarkEnd w:id="0"/>
    </w:p>
    <w:tbl>
      <w:tblPr>
        <w:tblStyle w:val="2"/>
        <w:tblpPr w:leftFromText="180" w:rightFromText="180" w:vertAnchor="text" w:horzAnchor="page" w:tblpX="1890" w:tblpY="111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19"/>
        <w:gridCol w:w="720"/>
        <w:gridCol w:w="5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18"/>
              </w:rPr>
              <w:t>学校</w:t>
            </w:r>
          </w:p>
        </w:tc>
        <w:tc>
          <w:tcPr>
            <w:tcW w:w="181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18"/>
              </w:rPr>
              <w:t>专业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18"/>
              </w:rPr>
              <w:t>招聘人数</w:t>
            </w:r>
          </w:p>
        </w:tc>
        <w:tc>
          <w:tcPr>
            <w:tcW w:w="5858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0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东阳市外国语学校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语文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1、拥护中国共产党领导、热爱祖国、遵纪守法、品行端正、爱岗敬业、工作责任心强、身体健康。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2、专业对口，具有与岗位职责相适应的业务知识水平、教育教学能力；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3、2020届应届硕士毕业生及符合下列条件之一者的2020届全日制一类本科毕业生：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（1）省优秀毕业生、学校优秀毕业生；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（2）师范类学生综合素质排名在院系或专业前50%的毕业生，非师范类学生综合素质排名在院系或专业前30%的毕业生；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4、户籍不限，身体健康，政治素质好，热爱教育事业。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数学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858" w:type="dxa"/>
            <w:vMerge w:val="continue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01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58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1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初中道德与法治·社会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58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134" w:right="1800" w:bottom="1134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35EF"/>
    <w:rsid w:val="05F3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2019-10-24T02:16:00Z</dcterms:created>
  <dc:creator>Administrator</dc:creator>
  <cp:lastModifiedBy>Administrator</cp:lastModifiedBy>
  <dcterms:modified xsi:type="dcterms:W3CDTF">2019-10-24T02:17:21Z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